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CD" w:rsidRPr="0064026B" w:rsidRDefault="005A26CD" w:rsidP="005A26CD">
      <w:pPr>
        <w:spacing w:after="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3574"/>
        <w:gridCol w:w="3972"/>
      </w:tblGrid>
      <w:tr w:rsidR="005A26CD" w:rsidRPr="0064026B" w:rsidTr="00823B76">
        <w:trPr>
          <w:tblCellSpacing w:w="15" w:type="dxa"/>
        </w:trPr>
        <w:tc>
          <w:tcPr>
            <w:tcW w:w="0" w:type="auto"/>
            <w:shd w:val="clear" w:color="auto" w:fill="990000"/>
            <w:vAlign w:val="center"/>
            <w:hideMark/>
          </w:tcPr>
          <w:p w:rsidR="005A26CD" w:rsidRPr="0064026B" w:rsidRDefault="005A26CD" w:rsidP="005A26CD">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vaccins grippaux trivalents inactivés </w:t>
            </w:r>
          </w:p>
        </w:tc>
        <w:tc>
          <w:tcPr>
            <w:tcW w:w="0" w:type="auto"/>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Verdana" w:eastAsia="Times New Roman" w:hAnsi="Verdana" w:cs="Times New Roman"/>
                <w:b/>
                <w:bCs/>
                <w:color w:val="990000"/>
                <w:sz w:val="24"/>
                <w:szCs w:val="24"/>
                <w:lang w:eastAsia="fr-FR"/>
              </w:rPr>
              <w:t>EFFETS INDÉSIRABLES</w:t>
            </w:r>
            <w:r w:rsidRPr="0064026B">
              <w:rPr>
                <w:rFonts w:ascii="Times New Roman" w:eastAsia="Times New Roman" w:hAnsi="Times New Roman" w:cs="Times New Roman"/>
                <w:color w:val="000000"/>
                <w:sz w:val="24"/>
                <w:szCs w:val="24"/>
                <w:lang w:eastAsia="fr-FR"/>
              </w:rPr>
              <w:t> </w:t>
            </w:r>
            <w:hyperlink w:anchor="pub" w:history="1">
              <w:r w:rsidRPr="0064026B">
                <w:rPr>
                  <w:rFonts w:ascii="Arial" w:eastAsia="Times New Roman" w:hAnsi="Arial" w:cs="Arial"/>
                  <w:color w:val="990000"/>
                  <w:sz w:val="20"/>
                  <w:u w:val="single"/>
                  <w:vertAlign w:val="superscript"/>
                  <w:lang w:eastAsia="fr-FR"/>
                </w:rPr>
                <w:t>(début page)</w:t>
              </w:r>
            </w:hyperlink>
            <w:r w:rsidRPr="0064026B">
              <w:rPr>
                <w:rFonts w:ascii="Times New Roman" w:eastAsia="Times New Roman" w:hAnsi="Times New Roman" w:cs="Times New Roman"/>
                <w:color w:val="000000"/>
                <w:sz w:val="24"/>
                <w:szCs w:val="24"/>
                <w:lang w:eastAsia="fr-FR"/>
              </w:rPr>
              <w:t xml:space="preserve"> </w:t>
            </w:r>
          </w:p>
        </w:tc>
      </w:tr>
    </w:tbl>
    <w:p w:rsidR="005A26CD" w:rsidRPr="0064026B" w:rsidRDefault="005A26CD" w:rsidP="005A26CD">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Événements indésirables observés au cours des essais cliniques :</w:t>
      </w:r>
      <w:r w:rsidRPr="0064026B">
        <w:rPr>
          <w:rFonts w:ascii="Times New Roman" w:eastAsia="Times New Roman" w:hAnsi="Times New Roman" w:cs="Times New Roman"/>
          <w:color w:val="000000"/>
          <w:sz w:val="24"/>
          <w:szCs w:val="24"/>
          <w:lang w:eastAsia="fr-FR"/>
        </w:rPr>
        <w:t xml:space="preserve"> </w:t>
      </w:r>
    </w:p>
    <w:p w:rsidR="005A26CD" w:rsidRPr="0064026B" w:rsidRDefault="005A26CD" w:rsidP="005A26CD">
      <w:pPr>
        <w:spacing w:after="0" w:line="240" w:lineRule="auto"/>
        <w:ind w:left="72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La tolérance des vaccins grippaux trivalents inactivés est évaluée au cours d'essais cliniques en ouvert, non contrôlés, réalisés annuellement en conformité avec les exigences réglementaires, et incluant au moins 50 adultes âgés de 18 à 60 ans et au moins 50 personnes âgées de 61 ans et plus. </w:t>
      </w:r>
    </w:p>
    <w:p w:rsidR="005A26CD" w:rsidRPr="0064026B" w:rsidRDefault="005A26CD" w:rsidP="005A26CD">
      <w:pPr>
        <w:spacing w:after="0" w:line="240" w:lineRule="auto"/>
        <w:ind w:left="72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L'évaluation de la tolérance est réalisée durant les 3 premiers jours suivant la vaccination. </w:t>
      </w:r>
    </w:p>
    <w:p w:rsidR="005A26CD" w:rsidRPr="0064026B" w:rsidRDefault="005A26CD" w:rsidP="005A26CD">
      <w:pPr>
        <w:spacing w:after="0" w:line="240" w:lineRule="auto"/>
        <w:ind w:left="72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Les effets indésirables suivants ont été observés au cours des essais cliniques selon les fréquences suivantes : très fréquent (&gt;= 1/10) ; fréquent (&gt;= 1/100, &lt; 1/10) ; peu fréquent (&gt;= 1/1000, &lt; 1/100).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382"/>
        <w:gridCol w:w="7320"/>
      </w:tblGrid>
      <w:tr w:rsidR="005A26CD" w:rsidRPr="0064026B" w:rsidTr="00823B76">
        <w:trPr>
          <w:tblCellSpacing w:w="7" w:type="dxa"/>
        </w:trPr>
        <w:tc>
          <w:tcPr>
            <w:tcW w:w="0" w:type="auto"/>
            <w:gridSpan w:val="2"/>
            <w:tcBorders>
              <w:top w:val="nil"/>
              <w:left w:val="nil"/>
              <w:bottom w:val="nil"/>
              <w:right w:val="nil"/>
            </w:tcBorders>
            <w:vAlign w:val="center"/>
            <w:hideMark/>
          </w:tcPr>
          <w:p w:rsidR="005A26CD" w:rsidRPr="0064026B" w:rsidRDefault="005A26CD" w:rsidP="00823B76">
            <w:pPr>
              <w:spacing w:after="0" w:line="240" w:lineRule="auto"/>
              <w:jc w:val="center"/>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Tableau des événements indésirables </w:t>
            </w:r>
          </w:p>
        </w:tc>
      </w:tr>
      <w:tr w:rsidR="005A26CD" w:rsidRPr="0064026B"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jc w:val="center"/>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Classe d'organe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jc w:val="center"/>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Effet indésirable </w:t>
            </w:r>
          </w:p>
        </w:tc>
      </w:tr>
      <w:tr w:rsidR="005A26CD" w:rsidRPr="0064026B"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Affections du système nerveux</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Céphalées</w:t>
            </w:r>
            <w:r w:rsidRPr="0064026B">
              <w:rPr>
                <w:rFonts w:ascii="Times New Roman" w:eastAsia="Times New Roman" w:hAnsi="Times New Roman" w:cs="Times New Roman"/>
                <w:color w:val="000000"/>
                <w:sz w:val="24"/>
                <w:szCs w:val="24"/>
                <w:vertAlign w:val="superscript"/>
                <w:lang w:eastAsia="fr-FR"/>
              </w:rPr>
              <w:t>*</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Affections de la peau et du tissu sous-cutané</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Sueurs</w:t>
            </w:r>
            <w:r w:rsidRPr="0064026B">
              <w:rPr>
                <w:rFonts w:ascii="Times New Roman" w:eastAsia="Times New Roman" w:hAnsi="Times New Roman" w:cs="Times New Roman"/>
                <w:color w:val="000000"/>
                <w:sz w:val="24"/>
                <w:szCs w:val="24"/>
                <w:vertAlign w:val="superscript"/>
                <w:lang w:eastAsia="fr-FR"/>
              </w:rPr>
              <w:t>*</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 xml:space="preserve">Affections </w:t>
            </w:r>
            <w:proofErr w:type="spellStart"/>
            <w:r w:rsidRPr="0064026B">
              <w:rPr>
                <w:rFonts w:ascii="Times New Roman" w:eastAsia="Times New Roman" w:hAnsi="Times New Roman" w:cs="Times New Roman"/>
                <w:i/>
                <w:iCs/>
                <w:color w:val="000000"/>
                <w:sz w:val="24"/>
                <w:szCs w:val="24"/>
                <w:lang w:eastAsia="fr-FR"/>
              </w:rPr>
              <w:t>musculosquelettiques</w:t>
            </w:r>
            <w:proofErr w:type="spellEnd"/>
            <w:r w:rsidRPr="0064026B">
              <w:rPr>
                <w:rFonts w:ascii="Times New Roman" w:eastAsia="Times New Roman" w:hAnsi="Times New Roman" w:cs="Times New Roman"/>
                <w:i/>
                <w:iCs/>
                <w:color w:val="000000"/>
                <w:sz w:val="24"/>
                <w:szCs w:val="24"/>
                <w:lang w:eastAsia="fr-FR"/>
              </w:rPr>
              <w:t xml:space="preserve"> et systémiques</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Myalgies, arthralgies</w:t>
            </w:r>
            <w:r w:rsidRPr="0064026B">
              <w:rPr>
                <w:rFonts w:ascii="Times New Roman" w:eastAsia="Times New Roman" w:hAnsi="Times New Roman" w:cs="Times New Roman"/>
                <w:color w:val="000000"/>
                <w:sz w:val="24"/>
                <w:szCs w:val="24"/>
                <w:vertAlign w:val="superscript"/>
                <w:lang w:eastAsia="fr-FR"/>
              </w:rPr>
              <w:t>*</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Troubles généraux et anomalies au site d'administration</w:t>
            </w:r>
            <w:r w:rsidRPr="0064026B">
              <w:rPr>
                <w:rFonts w:ascii="Times New Roman" w:eastAsia="Times New Roman" w:hAnsi="Times New Roman" w:cs="Times New Roman"/>
                <w:color w:val="000000"/>
                <w:sz w:val="24"/>
                <w:szCs w:val="24"/>
                <w:lang w:eastAsia="fr-FR"/>
              </w:rPr>
              <w:t xml:space="preserve"> </w:t>
            </w:r>
          </w:p>
        </w:tc>
      </w:tr>
      <w:tr w:rsidR="005A26CD" w:rsidRPr="0064026B" w:rsidTr="00823B7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26CD" w:rsidRPr="0064026B" w:rsidRDefault="005A26CD" w:rsidP="00823B76">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Fièvre, malaise, frissons, fatigue ; réactions locales : rougeur, gonflement, douleur, ecchymose, induration</w:t>
            </w:r>
            <w:r w:rsidRPr="0064026B">
              <w:rPr>
                <w:rFonts w:ascii="Times New Roman" w:eastAsia="Times New Roman" w:hAnsi="Times New Roman" w:cs="Times New Roman"/>
                <w:color w:val="000000"/>
                <w:sz w:val="24"/>
                <w:szCs w:val="24"/>
                <w:vertAlign w:val="superscript"/>
                <w:lang w:eastAsia="fr-FR"/>
              </w:rPr>
              <w:t>*</w:t>
            </w:r>
            <w:r w:rsidRPr="0064026B">
              <w:rPr>
                <w:rFonts w:ascii="Times New Roman" w:eastAsia="Times New Roman" w:hAnsi="Times New Roman" w:cs="Times New Roman"/>
                <w:color w:val="000000"/>
                <w:sz w:val="24"/>
                <w:szCs w:val="24"/>
                <w:lang w:eastAsia="fr-FR"/>
              </w:rPr>
              <w:t xml:space="preserve"> </w:t>
            </w:r>
          </w:p>
        </w:tc>
      </w:tr>
    </w:tbl>
    <w:p w:rsidR="005A26CD" w:rsidRPr="0064026B" w:rsidRDefault="005A26CD" w:rsidP="005A26CD">
      <w:pPr>
        <w:spacing w:after="0" w:line="240" w:lineRule="auto"/>
        <w:ind w:left="72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vertAlign w:val="superscript"/>
          <w:lang w:eastAsia="fr-FR"/>
        </w:rPr>
        <w:t>*</w:t>
      </w:r>
      <w:r w:rsidRPr="0064026B">
        <w:rPr>
          <w:rFonts w:ascii="Times New Roman" w:eastAsia="Times New Roman" w:hAnsi="Times New Roman" w:cs="Times New Roman"/>
          <w:color w:val="000000"/>
          <w:sz w:val="24"/>
          <w:szCs w:val="24"/>
          <w:lang w:eastAsia="fr-FR"/>
        </w:rPr>
        <w:t xml:space="preserve">  </w:t>
      </w:r>
      <w:r w:rsidRPr="0064026B">
        <w:rPr>
          <w:rFonts w:ascii="Times New Roman" w:eastAsia="Times New Roman" w:hAnsi="Times New Roman" w:cs="Times New Roman"/>
          <w:color w:val="000000"/>
          <w:sz w:val="20"/>
          <w:szCs w:val="20"/>
          <w:lang w:eastAsia="fr-FR"/>
        </w:rPr>
        <w:t>Ces réactions disparaissent généralement après 1 ou 2 jours, sans traitement.</w:t>
      </w:r>
    </w:p>
    <w:p w:rsidR="005A26CD" w:rsidRPr="0064026B" w:rsidRDefault="005A26CD" w:rsidP="005A26CD">
      <w:pPr>
        <w:spacing w:after="0" w:line="240" w:lineRule="auto"/>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i/>
          <w:iCs/>
          <w:color w:val="000000"/>
          <w:sz w:val="24"/>
          <w:szCs w:val="24"/>
          <w:lang w:eastAsia="fr-FR"/>
        </w:rPr>
        <w:t>Événements indésirables rapportés au cours de la surveillance après commercialisation :</w:t>
      </w:r>
      <w:r w:rsidRPr="0064026B">
        <w:rPr>
          <w:rFonts w:ascii="Times New Roman" w:eastAsia="Times New Roman" w:hAnsi="Times New Roman" w:cs="Times New Roman"/>
          <w:color w:val="000000"/>
          <w:sz w:val="24"/>
          <w:szCs w:val="24"/>
          <w:lang w:eastAsia="fr-FR"/>
        </w:rPr>
        <w:t xml:space="preserve"> </w:t>
      </w:r>
    </w:p>
    <w:p w:rsidR="005A26CD" w:rsidRPr="0064026B" w:rsidRDefault="005A26CD" w:rsidP="005A26CD">
      <w:pPr>
        <w:spacing w:after="0" w:line="240" w:lineRule="auto"/>
        <w:ind w:left="72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Les événements indésirables rapportés au cours de la surveillance après commercialisation, en plus de ceux déjà observés au cours des essais cliniques, sont les suivants : </w:t>
      </w:r>
    </w:p>
    <w:p w:rsidR="005A26CD" w:rsidRPr="0064026B" w:rsidRDefault="005A26CD" w:rsidP="005A26C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Affections hématologiques et du système lymphatique : </w:t>
      </w:r>
      <w:proofErr w:type="spellStart"/>
      <w:r w:rsidRPr="0064026B">
        <w:rPr>
          <w:rFonts w:ascii="Times New Roman" w:eastAsia="Times New Roman" w:hAnsi="Times New Roman" w:cs="Times New Roman"/>
          <w:color w:val="000000"/>
          <w:sz w:val="24"/>
          <w:szCs w:val="24"/>
          <w:lang w:eastAsia="fr-FR"/>
        </w:rPr>
        <w:t>thrombocytopénie</w:t>
      </w:r>
      <w:proofErr w:type="spellEnd"/>
      <w:r w:rsidRPr="0064026B">
        <w:rPr>
          <w:rFonts w:ascii="Times New Roman" w:eastAsia="Times New Roman" w:hAnsi="Times New Roman" w:cs="Times New Roman"/>
          <w:color w:val="000000"/>
          <w:sz w:val="24"/>
          <w:szCs w:val="24"/>
          <w:lang w:eastAsia="fr-FR"/>
        </w:rPr>
        <w:t xml:space="preserve"> (de très rares cas étaient des cas graves avec numération plaquettaire à 5000 par mm</w:t>
      </w:r>
      <w:r w:rsidRPr="0064026B">
        <w:rPr>
          <w:rFonts w:ascii="Verdana" w:eastAsia="Times New Roman" w:hAnsi="Verdana" w:cs="Times New Roman"/>
          <w:color w:val="000000"/>
          <w:sz w:val="20"/>
          <w:szCs w:val="20"/>
          <w:vertAlign w:val="superscript"/>
          <w:lang w:eastAsia="fr-FR"/>
        </w:rPr>
        <w:t>3</w:t>
      </w:r>
      <w:r w:rsidRPr="0064026B">
        <w:rPr>
          <w:rFonts w:ascii="Times New Roman" w:eastAsia="Times New Roman" w:hAnsi="Times New Roman" w:cs="Times New Roman"/>
          <w:color w:val="000000"/>
          <w:sz w:val="24"/>
          <w:szCs w:val="24"/>
          <w:lang w:eastAsia="fr-FR"/>
        </w:rPr>
        <w:t xml:space="preserve">), </w:t>
      </w:r>
      <w:proofErr w:type="spellStart"/>
      <w:r w:rsidRPr="0064026B">
        <w:rPr>
          <w:rFonts w:ascii="Times New Roman" w:eastAsia="Times New Roman" w:hAnsi="Times New Roman" w:cs="Times New Roman"/>
          <w:color w:val="000000"/>
          <w:sz w:val="24"/>
          <w:szCs w:val="24"/>
          <w:lang w:eastAsia="fr-FR"/>
        </w:rPr>
        <w:t>lymphadénopathie</w:t>
      </w:r>
      <w:proofErr w:type="spellEnd"/>
      <w:r w:rsidRPr="0064026B">
        <w:rPr>
          <w:rFonts w:ascii="Times New Roman" w:eastAsia="Times New Roman" w:hAnsi="Times New Roman" w:cs="Times New Roman"/>
          <w:color w:val="000000"/>
          <w:sz w:val="24"/>
          <w:szCs w:val="24"/>
          <w:lang w:eastAsia="fr-FR"/>
        </w:rPr>
        <w:t xml:space="preserve"> transitoire.</w:t>
      </w:r>
    </w:p>
    <w:p w:rsidR="005A26CD" w:rsidRPr="0064026B" w:rsidRDefault="005A26CD" w:rsidP="005A26C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Affections du système immunitaire : réactions allergiques, conduisant à un choc dans de rares cas, </w:t>
      </w:r>
      <w:proofErr w:type="spellStart"/>
      <w:r w:rsidRPr="0064026B">
        <w:rPr>
          <w:rFonts w:ascii="Times New Roman" w:eastAsia="Times New Roman" w:hAnsi="Times New Roman" w:cs="Times New Roman"/>
          <w:color w:val="000000"/>
          <w:sz w:val="24"/>
          <w:szCs w:val="24"/>
          <w:lang w:eastAsia="fr-FR"/>
        </w:rPr>
        <w:t>angio</w:t>
      </w:r>
      <w:proofErr w:type="spellEnd"/>
      <w:r w:rsidRPr="0064026B">
        <w:rPr>
          <w:rFonts w:ascii="Times New Roman" w:eastAsia="Times New Roman" w:hAnsi="Times New Roman" w:cs="Times New Roman"/>
          <w:color w:val="000000"/>
          <w:sz w:val="24"/>
          <w:szCs w:val="24"/>
          <w:lang w:eastAsia="fr-FR"/>
        </w:rPr>
        <w:t>-</w:t>
      </w:r>
      <w:proofErr w:type="spellStart"/>
      <w:r w:rsidRPr="0064026B">
        <w:rPr>
          <w:rFonts w:ascii="Times New Roman" w:eastAsia="Times New Roman" w:hAnsi="Times New Roman" w:cs="Times New Roman"/>
          <w:color w:val="000000"/>
          <w:sz w:val="24"/>
          <w:szCs w:val="24"/>
          <w:lang w:eastAsia="fr-FR"/>
        </w:rPr>
        <w:t>oedème</w:t>
      </w:r>
      <w:proofErr w:type="spellEnd"/>
      <w:r w:rsidRPr="0064026B">
        <w:rPr>
          <w:rFonts w:ascii="Times New Roman" w:eastAsia="Times New Roman" w:hAnsi="Times New Roman" w:cs="Times New Roman"/>
          <w:color w:val="000000"/>
          <w:sz w:val="24"/>
          <w:szCs w:val="24"/>
          <w:lang w:eastAsia="fr-FR"/>
        </w:rPr>
        <w:t>.</w:t>
      </w:r>
    </w:p>
    <w:p w:rsidR="005A26CD" w:rsidRPr="0064026B" w:rsidRDefault="005A26CD" w:rsidP="005A26C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Affections du système nerveux : névralgie, paresthésie, convulsions fébriles, troubles neurologiques, tels que encéphalomyélite, névrite et syndrome de Guillain-Barré.</w:t>
      </w:r>
    </w:p>
    <w:p w:rsidR="005A26CD" w:rsidRPr="0064026B" w:rsidRDefault="005A26CD" w:rsidP="005A26C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 xml:space="preserve">Affections vasculaires : </w:t>
      </w:r>
      <w:proofErr w:type="spellStart"/>
      <w:r w:rsidRPr="0064026B">
        <w:rPr>
          <w:rFonts w:ascii="Times New Roman" w:eastAsia="Times New Roman" w:hAnsi="Times New Roman" w:cs="Times New Roman"/>
          <w:color w:val="000000"/>
          <w:sz w:val="24"/>
          <w:szCs w:val="24"/>
          <w:lang w:eastAsia="fr-FR"/>
        </w:rPr>
        <w:t>vascularites</w:t>
      </w:r>
      <w:proofErr w:type="spellEnd"/>
      <w:r w:rsidRPr="0064026B">
        <w:rPr>
          <w:rFonts w:ascii="Times New Roman" w:eastAsia="Times New Roman" w:hAnsi="Times New Roman" w:cs="Times New Roman"/>
          <w:color w:val="000000"/>
          <w:sz w:val="24"/>
          <w:szCs w:val="24"/>
          <w:lang w:eastAsia="fr-FR"/>
        </w:rPr>
        <w:t xml:space="preserve"> avec atteinte rénale transitoire dans de très rares cas.</w:t>
      </w:r>
    </w:p>
    <w:p w:rsidR="005A26CD" w:rsidRPr="0064026B" w:rsidRDefault="005A26CD" w:rsidP="005A26CD">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lang w:eastAsia="fr-FR"/>
        </w:rPr>
      </w:pPr>
      <w:r w:rsidRPr="0064026B">
        <w:rPr>
          <w:rFonts w:ascii="Times New Roman" w:eastAsia="Times New Roman" w:hAnsi="Times New Roman" w:cs="Times New Roman"/>
          <w:color w:val="000000"/>
          <w:sz w:val="24"/>
          <w:szCs w:val="24"/>
          <w:lang w:eastAsia="fr-FR"/>
        </w:rPr>
        <w:t>Affections de la peau et du tissu sous-cutané : réactions cutanées généralisées incluant prurit, urticaire, rash non spécifique.</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2BB"/>
    <w:multiLevelType w:val="multilevel"/>
    <w:tmpl w:val="61C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A26CD"/>
    <w:rsid w:val="00017B31"/>
    <w:rsid w:val="0006330F"/>
    <w:rsid w:val="0009769E"/>
    <w:rsid w:val="000C4178"/>
    <w:rsid w:val="000F3D58"/>
    <w:rsid w:val="00120A2B"/>
    <w:rsid w:val="001931B1"/>
    <w:rsid w:val="001A53D5"/>
    <w:rsid w:val="001B3E26"/>
    <w:rsid w:val="00282113"/>
    <w:rsid w:val="003164DC"/>
    <w:rsid w:val="00370323"/>
    <w:rsid w:val="004276C2"/>
    <w:rsid w:val="004771A7"/>
    <w:rsid w:val="00587FAE"/>
    <w:rsid w:val="005A26CD"/>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6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2013-02-27T10:46:00Z</dcterms:created>
  <dcterms:modified xsi:type="dcterms:W3CDTF">2013-02-27T10:47:00Z</dcterms:modified>
</cp:coreProperties>
</file>